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13 129 vom 25. Juni 2014</w:t>
      </w:r>
    </w:p>
    <w:p>
      <w:r>
        <w:t>VS Kantonsgericht, 2014-06-25, FR</w:t>
      </w:r>
    </w:p>
    <w:p>
      <w:r>
        <w:rPr>
          <w:b/>
        </w:rPr>
        <w:t xml:space="preserve">Quelle: </w:t>
      </w:r>
      <w:r>
        <w:t>https://mcp.opencaselaw.ch/entscheid/vs_gerichte_P3 13 129</w:t>
      </w:r>
    </w:p>
    <w:p>
      <w:r>
        <w:t>FR: VS_GERICHTE P3 13 129 du 25 juin 2014</w:t>
      </w:r>
    </w:p>
    <w:p>
      <w:r>
        <w:t>IT: VS_GERICHTE P3 13 129 del 25 giugno 2014</w:t>
      </w:r>
    </w:p>
    <w:p>
      <w:pPr>
        <w:pStyle w:val="Heading2"/>
      </w:pPr>
      <w:r>
        <w:t>Regeste</w:t>
      </w:r>
    </w:p>
    <w:p>
      <w:r>
        <w:t>Par arrêt du 25 juin 2014 (6B_145/2014), le Tribunal fédéral a déclaré irrecevable le recours en matière pénale interjeté par X_________ contre ce jugement. P3 13 129 ORDONNANCE DU 30 DÉCEMBRE 2013 Tribunal cantonal du Valais Chambre pénale Jacques Berthouzoz, juge ; Mireille Allegro, greffière en la cause entre X_________, recourant, au nom de qui agit sa mère A_________, représenté par Maître B_________ et Y_________, intimé et</w:t>
      </w:r>
    </w:p>
    <w:p>
      <w:pPr>
        <w:pStyle w:val="Heading2"/>
      </w:pPr>
      <w:r>
        <w:t>Erwägungen</w:t>
      </w:r>
    </w:p>
    <w:p>
      <w:r>
        <w:rPr>
          <w:b/>
        </w:rPr>
        <w:t>E. 1</w:t>
      </w:r>
    </w:p>
    <w:p>
      <w:r>
        <w:t>let. a CPP, 20 al. 3 LOJ et 13 al. 1 LACPP). Sont notamment susceptibles d’être invoqués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ce qui lui permet de statuer par substitution de motifs (ATC P3 12 195 du 18 mars 2013 et la réf. ; cf. Lieber, in Donatsch/Hansjakob/Lieber, Kommentar zur Schweizerischen Strafprozessordnung StPO, 2010, n. 1 ad art. 391 CPP). Ne devant connaître que de ce qui lui est soumis (Calame, Commentaire romand, Code de procédure pénale suisse, 2011, n. 5, 6 et 20 ad art. 385 CPP), l’autorité de recours examine seulement les griefs qui sont soulevés, dès lors que le recours doit être motivé (art. 396 al. 1 CP ; cf. ATF 133 III 345 consid. 1.5 ; arrêt 5A_441/2011 du 16 décembre 2011 consid. 2.1 ; RVJ 2012 p. 221 consid. 1.2).</w:t>
      </w:r>
    </w:p>
    <w:p>
      <w:r>
        <w:rPr>
          <w:b/>
        </w:rPr>
        <w:t>E. 1.2</w:t>
      </w:r>
    </w:p>
    <w:p>
      <w:r>
        <w:t>En l’espèce, lors de son audition par la police le 17 juin 2013, A_________ a déposé plainte contre Y_________ pour le compte de son fils X_________, en raison des mêmes faits dénoncés par le service cantonal de la jeunesse (cf. réponse à la question 8). La qualité pour recourir doit dès lors être reconnue à l’enfant, représenté par sa mère (art. 104 al. 1 let. b, 118 al. 1 et 2, 310 al. 2, 322 al. 2 et 382 al. 1 CPP ; ATF 138 IV 248 consid. 4.2.1). Le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A titre liminaire, il convient de relever que la dénonciation du 7 mai 2013 et la plainte pénale du 17 juin 2013 ne porte que sur de prétendus actes de maltraitance physique de la part de Y_________ sur son fils X_________. A_________ n’a, en effet, jamais déposé formellement plainte pour elle-même. Elle n’agit donc qu’en qualité de représentante légale de l’enfant.</w:t>
      </w:r>
    </w:p>
    <w:p>
      <w:r>
        <w:rPr>
          <w:b/>
        </w:rPr>
        <w:t>E. 3</w:t>
      </w:r>
    </w:p>
    <w:p>
      <w:r>
        <w:t>Il est renoncé à percevoir un émolument.</w:t>
      </w:r>
    </w:p>
    <w:p>
      <w:r>
        <w:rPr>
          <w:b/>
        </w:rPr>
        <w:t>E. 3.1</w:t>
      </w:r>
    </w:p>
    <w:p>
      <w:r>
        <w:t>A cet égard, il est rappelé que si l’autorité de recours administre, d’office ou à la demande d’une partie, les preuves complémentaires nécessaires au traitement du recours ( art. 389 al. 3 CPP), à savoir celles qui peuvent avoir une influence sur son sort (Rémy, Commentaire romand, n. 3 ad art. 393 CPP), une réserve marquée est de</w:t>
      </w:r>
    </w:p>
    <w:p>
      <w:r>
        <w:t>- 5 - mise dans la mesure où il n’incombe pas à cette instance de se substituer à l’autorité de poursuite (cf. Pitteloud, Code de procédure pénale suisse, 2012, n. 1135 et 1154).</w:t>
      </w:r>
    </w:p>
    <w:p>
      <w:r>
        <w:rPr>
          <w:b/>
        </w:rPr>
        <w:t>E. 3.2</w:t>
      </w:r>
    </w:p>
    <w:p>
      <w:r>
        <w:t>En l’occurrence, le recourant a requis, en sus de l’édition du dossier P1 12 120 de l’office central du ministère public, l’édition du dossier P1 12 1443 ouvert par le procureur. Or, il ressort du courrier du 22 avril 2013 de l’office de la protection de l’enfant que ce dossier ne contient aucune mention de maltraitance sur l’enfant. Il est dès lors renoncé à son édition. Les recourants ont également réclamé l’interrogatoire des parties, ainsi que l’audition de trois témoins, à savoir F_________ (mère de A_________), G_________ (oncle de A_________) et H_________ (tante de A_________). A cet égard, on rappellera que les parties ont déjà pu exposer leurs versions respectives des faits à la police et faire valoir leurs arguments par écrit dans le cadre de la procédure de recours. On ne voit dès lors pas ce que leur audition pourrait apporter de plus (cf. sur la notion d'appréciation anticipée des preuves, ATF 134 I 140 consid. 5.3 ; 130 II 425 consid. 2.1). Il en va de même de l’interrogatoire du Dr E_________, requis dans l’argumentation du recours (cf. p. 12), dont les certificats ont été versés en cause et dont on ne voit pas quels éléments supplémentaires déterminants il pourrait fournir oralement. Quant aux trois témoins proposés, leurs déclarations ne sauraient suffire à modifier la conviction du juge, d'autant moins qu’il s’agit de parents proches, probablement acquis à la cause des recourants, et que ces derniers ne prétendent pas que ces personnes auraient eux-mêmes directement constaté la réalisation de l'une des infractions évoquées. Au contraire, interrogée le 17 juin 2013, A_________ a clairement déclaré qu’il n’y avait jamais eu de témoins directs (cf. réponse à la question 4). Dans ces conditions, il n’y a pas lieu de mettre en œuvre ces moyens de preuve. En effet, comme on le verra ci-après, le dossier P1 13 120 remis par le ministère public renseigne suffisamment sur les faits utiles à la solution du recours, de sorte qu’il n’y a pas lieu de procéder à l’administration d’autres moyens de preuve. 4.1 En vertu de l’article 310 alinéa 1 lettre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arrêts 1B_579/2012 du 2 septembre 2013 consid. 2.1 ; 1B_710/2012 du 20 août 2013 consid. 5.1 ; 6B_482/2013 du 30 juillet 2013 consid. 3.2 ; 1B_122/2013 du 11 juillet 2013 consid. 3.1). 4.2 En l’espèce, le recourant prétend que les rapport et dénonciation de l’office de la protection de l’enfant, la procédure pénale antérieure auprès du procureur et les</w:t>
      </w:r>
    </w:p>
    <w:p>
      <w:r>
        <w:t>- 6 - rapports médicaux produits à l’appui du recours constitueraient des soupçons suffisants sur la commission d’une infraction. S’agissant de la dénonciation faite par le service cantonal de la jeunesse, respectivement l’office de la protection de l’enfant, celle-ci ne constitue pas déjà une preuve d’agissements violents de Y_________ envers son fils. En effet, lorsqu’il a le moindre doute sur une éventuelle situation de mise en danger de l’enfant, l’office de la protection de l’enfant doit se montrer prudent et procéder à un signalement. Cela ne signifie pas encore que les faits relatés sont vrais. Quant à la procédure pénale ouverte auprès du ministère public, comme on l’a vu, celle-ci ne portait pas sur d’éventuelles maltraitances faites à l’enfant. Enfin, on observe que, dans son certificat médical du</w:t>
      </w:r>
    </w:p>
    <w:p>
      <w:r>
        <w:rPr>
          <w:b/>
        </w:rPr>
        <w:t>E. 4</w:t>
      </w:r>
    </w:p>
    <w:p>
      <w:r>
        <w:t>Il n’est pas alloué de dépens.</w:t>
      </w:r>
    </w:p>
    <w:p>
      <w:r>
        <w:t>Sion, le 30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